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716FF">
      <w:pPr>
        <w:jc w:val="center"/>
        <w:rPr>
          <w:rFonts w:eastAsia="Times New Roman"/>
          <w:sz w:val="28"/>
          <w:szCs w:val="28"/>
          <w:highlight w:val="white"/>
          <w:shd w:val="clear" w:color="auto" w:fill="FEFEFE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ПРАВИЛНИК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ДЪРЖАВНАТА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СОБСТВЕНОСТ</w:t>
      </w:r>
    </w:p>
    <w:p w:rsidR="00000000" w:rsidRDefault="00E716FF">
      <w:pPr>
        <w:spacing w:before="283"/>
        <w:ind w:firstLine="850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Приет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ПМС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№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254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15.09.2006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E716FF">
      <w:pPr>
        <w:spacing w:before="283"/>
        <w:ind w:firstLine="850"/>
        <w:jc w:val="both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Обн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Януари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10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2016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.55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15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2022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E716F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вещноправен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04.10.2013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05.05.2020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непарична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апортирани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отрасловата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04.10.2013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04.10.2013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наричана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04.10.2013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08.07.2022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индустрията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04.10.2013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04.10.2013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поканват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неоснователно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нецелесъобразно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04.10.2013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балансова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балансова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второстепенен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баланса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земетресения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ТДАВАНЕ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ръководителят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хуманитарни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общественополезна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33.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кабинети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загинал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настойник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попечител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некоректни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двучленно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двустайно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тричленно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тристайно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четиристайно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заченатото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смърт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преживелия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ненавършили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пълнолетие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смъртта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смъртта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вследствие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злополука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пълнолетие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починалия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творческа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хабилитирани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творчески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творчески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пожизнено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четвър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НАЕМНИ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ЦЕНИ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онструкцията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преобладаващото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нулева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2;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преобладаващ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1. 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надхвърл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надхвърлят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удвоява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общежития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творческа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коригирана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коригирана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коефициент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Кпм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= 0,70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паркинги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коефициент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Кпм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= 0,50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хуманитарни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общественополезна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23.04.2010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21.10.2008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изместването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достатъчни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изчерпване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01.10.2019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приватизация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следприватизационен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наричан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надхвърля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надхвърля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05.08.2022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евентуални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обезпечения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05.08.2022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05.08.2022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стъпката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01.10.2019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01.10.2019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01.10.2019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удължаване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23,59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петнадесетия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ежедневника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01.10.2019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05.08.2022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23.04.2010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23.04.2010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непроведен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легитимира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23.04.2010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поканва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стъпката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разграничени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стъпката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обвързвани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позовават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предупреждение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входящите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потвърдили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запечатан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непрозрачен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препоръчано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кореспонденция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телефон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запечатан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непрозрачен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приносителя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незапечатан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прозрачен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разпечатва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запознава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входящите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низходящ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47 - 50,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стъпка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01.10.2019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квалифициран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КЕП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изискуемите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КЕП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изискуемите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05.08.2022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удължава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Удължаването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изискуеми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КЕП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сканиран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квалифициран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КЕП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чужденеца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индивидуализиращи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КЕП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титуляр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идентифицира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КЕП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съвпада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01.10.2019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запознава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КЕП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недопускането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предхождащ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изискуемите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недопуснатите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01.10.2019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универсален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КЕП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оторизира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интервал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оторизацията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01.10.2019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05.08.2022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петнадесетия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оторизирали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оторизирал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оторизирал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стъпка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непроведен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оторизиралите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стъпка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оторизирал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непроведен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01.10.2019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стъпка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стъпка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достигнатите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05.08.2022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интервал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секунди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интервал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удължава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визуализира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удължава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многократно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секунди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интервал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стъпка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достигната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визуализира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дложил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01.10.2019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участника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КЕП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непроведен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КЕП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03.09.2010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разсрочено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разсрочването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лихва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лихвен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03.09.2010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разсрочено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03.09.2010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03.09.2010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разсрочено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03.09.2010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разсрочено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разсрочването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разсрочването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03.09.2010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лихви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03.09.2010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разсрочено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03.09.2010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03.09.2010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надлежни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разсрочването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03.09.2010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разсрочено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01.10.2019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реквизитите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56 - 58.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разплащателните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новопостроената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04.10.2013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04.10.2013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04.10.2013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заменяемият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04.10.2013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04.10.2013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04.10.2013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привлича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04.10.2013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04.10.2013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04.10.2013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новопридобития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04.10.2013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61 - 65,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синдикатите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синдикални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синдиката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синдикални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синдикатът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ъответстващи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синдиката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синдикални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синдиката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синдикални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Синдикатът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вследствие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синдикатите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преотстъпват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синдикатите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изискуеми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синдикатите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синдикални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синдиката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синдиката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едностранно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клауза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достатъчен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непредставена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вследствие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преотстъпват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изискуеми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едностранно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клауза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балансова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индивидуализиращи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белези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балансова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разчистване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E716F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ателиета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творческа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творческа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творче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военнослужещи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подчинение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1/2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надлежно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71;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целесъобразност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надлежен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оятелството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орености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новопридобития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новопридобитият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построена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нея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ридобият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поделяемостта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поделяем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подало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предприятия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поделяемост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авляващия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затворно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затворно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ЦЕНИТЕ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ОТЧУЖДАВАНЕ</w:t>
      </w:r>
    </w:p>
    <w:p w:rsidR="00000000" w:rsidRDefault="00E716F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цените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разпореждане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23.04.2010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03.09.2010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балансовата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прикрепени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придаваеми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придаваемите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апортиране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непаричната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апортиране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непаричната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балансова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апортиране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непаричната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23.04.2010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03.09.2010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–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умножи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цените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реализирани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сделки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удвоява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СТРАНАТА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Междуведомствена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наричана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24.11.2009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14.10.2011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23.03.2012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13.09.2013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.10.2013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08.07.2022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индустрията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Междуведомствената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целесъобразността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перспективи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двустранните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многостранната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квадратура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девета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АКТУВАНЕ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ОТПИСВАНЕТО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АКТОВИТЕ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КНИГИ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04.10.2013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04.10.2013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събарянето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язовирите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магазин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работилница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просветни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подслон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развлечения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04.10.2013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прикрепени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престанал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престанал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балансовата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престанал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спомагателен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спомагателен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престанал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спомагателни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07.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04.10.2013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спомагателните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04.10.2013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едставляваща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достатъчно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безспорен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надлежния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претендират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снабдят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зидарски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очертания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лоджии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веранди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тераси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мазе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барака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Некоректни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съпрузите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ненавършилите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пълнолетие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навършилите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пълнолетие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припознати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ненавършили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пълнолетие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навършилите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пълнолетие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припознати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E716F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04.10.2013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безимотни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малоимотни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ЗСПЗЗ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04.10.2013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04.10.2013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04.10.2013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ППЗОЗЗ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ППЗОЗЗ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90".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оригиналните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послужили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01.10.2019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161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245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254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21.10.2008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188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268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ИКОНОМИКАТА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ТУРИЗМА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24.11.2009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94.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15898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01.12.2011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93,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73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254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23.04.2010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130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254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147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184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01.09.2010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03.09.2010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Неприключилите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достигната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–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276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254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14.10.2011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365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РАБОТИ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62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254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23.03.2012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142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МЛАДЕЖТА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СПОРТА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91.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РАБОТИ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13.09.2013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220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254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04.10.2013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220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254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04.10.2013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254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388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12.12.2014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64,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25,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52,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61,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62,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. . . . . . . . . . . . . . 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243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ПЛАТФОРМА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РУЖЕСТВА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КАПИТАЛА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ДЯЛОВЕ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АКЦИИ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ТЪРГОВСКО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ДРУЖЕСТВО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КАПИТАЛА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01.10.2019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6.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716F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376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254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85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ПУБЛИЧНИТЕ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ПРЕДПРИЯТИЯ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.05.2020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716F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156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08.07.2022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64,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25,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52,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61,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62,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индустрията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716FF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156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08.07.2022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716FF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168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ЕЛЕКТРОНН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ПЛАТФОРМА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КАПИТАЛА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ДЯЛОВЕ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АКЦИИ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ТЪРГОВСКО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ДРУЖЕСТВО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КАПИТАЛА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243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05.08.2022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09"/>
        <w:gridCol w:w="4170"/>
        <w:gridCol w:w="1170"/>
        <w:gridCol w:w="14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№</w:t>
            </w:r>
          </w:p>
        </w:tc>
        <w:tc>
          <w:tcPr>
            <w:tcW w:w="4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Показатели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Увели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ление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ред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цент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Местонахождение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лищата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според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категорията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населеното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място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зона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която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попадат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1.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Нулева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първа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зона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2.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Нулева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втора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зона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Първа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първа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зона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3.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Нулева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трета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зона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Първа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втора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зона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Втора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първа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зона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4.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Нулева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зона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Първа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четвърта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зона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Втора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трета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зона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Трета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втора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зона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5.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Първа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зона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Втора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четвърта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зона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Трета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трета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зона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6.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населени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места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четвърта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Конструкция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сградите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1.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2.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Разположение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жилища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височина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1.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етаж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двуетажна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жилищна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2.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Втори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шести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етаж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3.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Последен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етаж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жилищни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повече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етажи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всеки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седми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висок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етаж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4.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жилище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височина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0,3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спрямо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средн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терена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всеки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пълни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10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Преобладаващо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изложе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жилищните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визните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1.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Юг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2.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Югоизток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югозапад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3.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Изток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4.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Североизток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северозапад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5.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Север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Благоустройствено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съоръжаване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1.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жилище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етажа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асансьор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2.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жилище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централно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отопление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3.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газифицирано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жилище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4.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жилище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разположено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съседство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трафопостове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,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помпен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агрегати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асансьор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машинни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помещения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,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абонатни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станции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други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източници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топлина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,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шум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</w:tbl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70"/>
        <w:gridCol w:w="6870"/>
        <w:gridCol w:w="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Използвани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кодове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видовете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Код</w:t>
            </w:r>
          </w:p>
        </w:tc>
        <w:tc>
          <w:tcPr>
            <w:tcW w:w="6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Конструкция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</w:t>
            </w: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масивни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зидани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стоманобетонни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подови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други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елементи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противоземетръсни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шайби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рамки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</w:t>
            </w: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масивни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зидани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стоманобетонни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подови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други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елементи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противоземетръсни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шайби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рамки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);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едропанелни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;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изпълнявани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пълзящ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кофраж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масивни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сглобяеми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скелетни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скелетно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безгредови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конструкции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;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едроплощен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кофраж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;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пакетно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повдигани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плочи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осигурявани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срещу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земетръс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зависимост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годината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проектирането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изграждането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E716FF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</w:tbl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персонал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резиденция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E716FF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чужбина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44,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50,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43, 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E716FF" w:rsidRDefault="00E716F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sectPr w:rsidR="00E716FF">
      <w:pgSz w:w="12240" w:h="15840"/>
      <w:pgMar w:top="1080" w:right="108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77"/>
    <w:rsid w:val="00565477"/>
    <w:rsid w:val="00E7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810990E-5D2E-4B45-897C-832C4EDB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19414</Words>
  <Characters>110662</Characters>
  <Application>Microsoft Office Word</Application>
  <DocSecurity>0</DocSecurity>
  <Lines>922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GEORGIEVA GYURDZHEKLIEVA</dc:creator>
  <cp:keywords/>
  <dc:description/>
  <cp:lastModifiedBy>DANIELA GEORGIEVA GYURDZHEKLIEVA</cp:lastModifiedBy>
  <cp:revision>2</cp:revision>
  <dcterms:created xsi:type="dcterms:W3CDTF">2023-03-15T09:05:00Z</dcterms:created>
  <dcterms:modified xsi:type="dcterms:W3CDTF">2023-03-15T09:05:00Z</dcterms:modified>
</cp:coreProperties>
</file>